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ind w:right="40"/>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 </w:t>
      </w:r>
    </w:p>
    <w:p w:rsidR="00000000" w:rsidDel="00000000" w:rsidP="00000000" w:rsidRDefault="00000000" w:rsidRPr="00000000" w14:paraId="00000002">
      <w:pPr>
        <w:spacing w:after="240" w:before="240" w:line="276" w:lineRule="auto"/>
        <w:ind w:right="40"/>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 </w:t>
      </w:r>
    </w:p>
    <w:p w:rsidR="00000000" w:rsidDel="00000000" w:rsidP="00000000" w:rsidRDefault="00000000" w:rsidRPr="00000000" w14:paraId="00000003">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ПРОГРАМА</w:t>
      </w:r>
    </w:p>
    <w:p w:rsidR="00000000" w:rsidDel="00000000" w:rsidP="00000000" w:rsidRDefault="00000000" w:rsidRPr="00000000" w14:paraId="00000004">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РОЗВИТКУ ОСВІТИ </w:t>
      </w:r>
    </w:p>
    <w:p w:rsidR="00000000" w:rsidDel="00000000" w:rsidP="00000000" w:rsidRDefault="00000000" w:rsidRPr="00000000" w14:paraId="00000005">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СОФІЇВСЬКОЇ СЕЛИЩНОЇ </w:t>
      </w:r>
    </w:p>
    <w:p w:rsidR="00000000" w:rsidDel="00000000" w:rsidP="00000000" w:rsidRDefault="00000000" w:rsidRPr="00000000" w14:paraId="00000006">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ТЕРИТОРІАЛЬНОЇ </w:t>
      </w:r>
    </w:p>
    <w:p w:rsidR="00000000" w:rsidDel="00000000" w:rsidP="00000000" w:rsidRDefault="00000000" w:rsidRPr="00000000" w14:paraId="00000007">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ГРОМАДИ</w:t>
      </w:r>
    </w:p>
    <w:p w:rsidR="00000000" w:rsidDel="00000000" w:rsidP="00000000" w:rsidRDefault="00000000" w:rsidRPr="00000000" w14:paraId="00000008">
      <w:pPr>
        <w:spacing w:after="240" w:before="240" w:line="276" w:lineRule="auto"/>
        <w:ind w:right="4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на </w:t>
      </w:r>
      <w:r w:rsidDel="00000000" w:rsidR="00000000" w:rsidRPr="00000000">
        <w:rPr>
          <w:rFonts w:ascii="Times New Roman" w:cs="Times New Roman" w:eastAsia="Times New Roman" w:hAnsi="Times New Roman"/>
          <w:b w:val="1"/>
          <w:sz w:val="52"/>
          <w:szCs w:val="52"/>
          <w:rtl w:val="0"/>
        </w:rPr>
        <w:t xml:space="preserve">2023-2027 р</w:t>
      </w:r>
      <w:r w:rsidDel="00000000" w:rsidR="00000000" w:rsidRPr="00000000">
        <w:rPr>
          <w:rFonts w:ascii="Times New Roman" w:cs="Times New Roman" w:eastAsia="Times New Roman" w:hAnsi="Times New Roman"/>
          <w:b w:val="1"/>
          <w:sz w:val="52"/>
          <w:szCs w:val="52"/>
          <w:rtl w:val="0"/>
        </w:rPr>
        <w:t xml:space="preserve">оки</w:t>
      </w:r>
    </w:p>
    <w:p w:rsidR="00000000" w:rsidDel="00000000" w:rsidP="00000000" w:rsidRDefault="00000000" w:rsidRPr="00000000" w14:paraId="00000009">
      <w:pPr>
        <w:spacing w:line="276" w:lineRule="auto"/>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Fonts w:ascii="Times New Roman" w:cs="Times New Roman" w:eastAsia="Times New Roman" w:hAnsi="Times New Roman"/>
          <w:b w:val="1"/>
          <w:color w:val="ff0000"/>
          <w:sz w:val="52"/>
          <w:szCs w:val="52"/>
          <w:rtl w:val="0"/>
        </w:rPr>
        <w:t xml:space="preserve"> </w:t>
      </w:r>
    </w:p>
    <w:p w:rsidR="00000000" w:rsidDel="00000000" w:rsidP="00000000" w:rsidRDefault="00000000" w:rsidRPr="00000000" w14:paraId="0000000B">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0C">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0D">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0E">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0F">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10">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11">
      <w:pPr>
        <w:spacing w:after="200" w:before="240" w:line="276" w:lineRule="auto"/>
        <w:rPr>
          <w:rFonts w:ascii="Times New Roman" w:cs="Times New Roman" w:eastAsia="Times New Roman" w:hAnsi="Times New Roman"/>
          <w:b w:val="1"/>
          <w:color w:val="ff0000"/>
          <w:sz w:val="52"/>
          <w:szCs w:val="52"/>
        </w:rPr>
      </w:pPr>
      <w:r w:rsidDel="00000000" w:rsidR="00000000" w:rsidRPr="00000000">
        <w:rPr>
          <w:rtl w:val="0"/>
        </w:rPr>
      </w:r>
    </w:p>
    <w:p w:rsidR="00000000" w:rsidDel="00000000" w:rsidP="00000000" w:rsidRDefault="00000000" w:rsidRPr="00000000" w14:paraId="00000012">
      <w:pPr>
        <w:spacing w:after="240" w:before="240" w:lineRule="auto"/>
        <w:ind w:right="1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ПАСПОРТ ПРОГРАМИ</w:t>
      </w:r>
    </w:p>
    <w:p w:rsidR="00000000" w:rsidDel="00000000" w:rsidP="00000000" w:rsidRDefault="00000000" w:rsidRPr="00000000" w14:paraId="00000013">
      <w:pPr>
        <w:ind w:right="100.866141732284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розвитку освіти Софіївської селищної  територіальної                </w:t>
      </w:r>
    </w:p>
    <w:p w:rsidR="00000000" w:rsidDel="00000000" w:rsidP="00000000" w:rsidRDefault="00000000" w:rsidRPr="00000000" w14:paraId="00000014">
      <w:pPr>
        <w:ind w:right="100.866141732284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громади  на   </w:t>
      </w:r>
      <w:r w:rsidDel="00000000" w:rsidR="00000000" w:rsidRPr="00000000">
        <w:rPr>
          <w:rFonts w:ascii="Times New Roman" w:cs="Times New Roman" w:eastAsia="Times New Roman" w:hAnsi="Times New Roman"/>
          <w:b w:val="1"/>
          <w:rtl w:val="0"/>
        </w:rPr>
        <w:t xml:space="preserve">2023-2027</w:t>
      </w:r>
      <w:r w:rsidDel="00000000" w:rsidR="00000000" w:rsidRPr="00000000">
        <w:rPr>
          <w:rFonts w:ascii="Times New Roman" w:cs="Times New Roman" w:eastAsia="Times New Roman" w:hAnsi="Times New Roman"/>
          <w:b w:val="1"/>
          <w:rtl w:val="0"/>
        </w:rPr>
        <w:t xml:space="preserve"> роки</w:t>
      </w:r>
    </w:p>
    <w:p w:rsidR="00000000" w:rsidDel="00000000" w:rsidP="00000000" w:rsidRDefault="00000000" w:rsidRPr="00000000" w14:paraId="00000015">
      <w:pPr>
        <w:ind w:left="1440" w:right="1720" w:firstLine="0"/>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1380"/>
        <w:gridCol w:w="1695"/>
        <w:gridCol w:w="1620"/>
        <w:gridCol w:w="1440"/>
        <w:gridCol w:w="1380"/>
        <w:tblGridChange w:id="0">
          <w:tblGrid>
            <w:gridCol w:w="2580"/>
            <w:gridCol w:w="1380"/>
            <w:gridCol w:w="1695"/>
            <w:gridCol w:w="1620"/>
            <w:gridCol w:w="1440"/>
            <w:gridCol w:w="1380"/>
          </w:tblGrid>
        </w:tblGridChange>
      </w:tblGrid>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before="0" w:line="292.3636363636364" w:lineRule="auto"/>
              <w:ind w:left="141.73228346456688" w:right="115.74803149606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Ініціатор розроблення</w:t>
            </w:r>
          </w:p>
          <w:p w:rsidR="00000000" w:rsidDel="00000000" w:rsidP="00000000" w:rsidRDefault="00000000" w:rsidRPr="00000000" w14:paraId="00000017">
            <w:pPr>
              <w:spacing w:after="0" w:before="0" w:line="290.18181818181824" w:lineRule="auto"/>
              <w:ind w:left="141.73228346456688" w:right="115.74803149606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Програми (замовник)</w:t>
            </w:r>
          </w:p>
        </w:tc>
        <w:tc>
          <w:tcPr>
            <w:gridSpan w:val="5"/>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292.3636363636364"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Відділ освіти Виконавчого комітету Софіївської селищної ради</w:t>
            </w:r>
          </w:p>
        </w:tc>
      </w:tr>
      <w:tr>
        <w:trPr>
          <w:cantSplit w:val="0"/>
          <w:trHeight w:val="955.47363281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94.5454545454545"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Розробник Програми</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40" w:before="240" w:line="294.5454545454545"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Відділ освіти Виконавчого комітету Софіївської селищної ради</w:t>
            </w:r>
          </w:p>
        </w:tc>
      </w:tr>
      <w:tr>
        <w:trPr>
          <w:cantSplit w:val="0"/>
          <w:trHeight w:val="8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92.3636363636364" w:lineRule="auto"/>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 реалізації Програми</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40" w:before="240" w:line="292.3636363636364"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2023-2027 </w:t>
            </w:r>
            <w:r w:rsidDel="00000000" w:rsidR="00000000" w:rsidRPr="00000000">
              <w:rPr>
                <w:rFonts w:ascii="Times New Roman" w:cs="Times New Roman" w:eastAsia="Times New Roman" w:hAnsi="Times New Roman"/>
                <w:rtl w:val="0"/>
              </w:rPr>
              <w:t xml:space="preserve">роки</w:t>
            </w:r>
          </w:p>
        </w:tc>
      </w:tr>
      <w:tr>
        <w:trPr>
          <w:cantSplit w:val="0"/>
          <w:trHeight w:val="10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ind w:left="141.73228346456688"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Етапи фінансування Програми</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240" w:before="240" w:line="292.3636363636364"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Щорічно</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before="0" w:line="240"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фінансування</w:t>
            </w:r>
          </w:p>
          <w:p w:rsidR="00000000" w:rsidDel="00000000" w:rsidP="00000000" w:rsidRDefault="00000000" w:rsidRPr="00000000" w14:paraId="00000030">
            <w:pPr>
              <w:spacing w:after="0" w:before="0" w:line="240"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Програми (тис. грн.)</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ind w:left="141.7322834645668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158126,9</w:t>
            </w:r>
          </w:p>
        </w:tc>
      </w:tr>
      <w:tr>
        <w:trPr>
          <w:cantSplit w:val="0"/>
          <w:trHeight w:val="701.674804687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94.5454545454545"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Роки</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40" w:before="240" w:line="281.4545454545455"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Обсяги фінансування</w:t>
            </w:r>
          </w:p>
        </w:tc>
      </w:tr>
      <w:tr>
        <w:trPr>
          <w:cantSplit w:val="0"/>
          <w:trHeight w:val="47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ind w:left="220" w:firstLine="0"/>
              <w:rPr>
                <w:rFonts w:ascii="Times New Roman" w:cs="Times New Roman" w:eastAsia="Times New Roman" w:hAnsi="Times New Roman"/>
                <w:color w:val="ff0000"/>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292.3636363636364"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Всього</w:t>
            </w:r>
          </w:p>
        </w:tc>
        <w:tc>
          <w:tcPr>
            <w:gridSpan w:val="4"/>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240" w:before="240" w:line="279.2727272727273"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 ч. за джерелами фінансування (тис. грн.)</w:t>
            </w:r>
          </w:p>
        </w:tc>
      </w:tr>
      <w:tr>
        <w:trPr>
          <w:cantSplit w:val="0"/>
          <w:trHeight w:val="75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ind w:left="220" w:firstLine="0"/>
              <w:rPr>
                <w:rFonts w:ascii="Times New Roman" w:cs="Times New Roman" w:eastAsia="Times New Roman" w:hAnsi="Times New Roman"/>
                <w:color w:val="ff000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ind w:left="220" w:firstLine="0"/>
              <w:rPr>
                <w:rFonts w:ascii="Times New Roman" w:cs="Times New Roman" w:eastAsia="Times New Roman" w:hAnsi="Times New Roman"/>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92.3636363636364" w:lineRule="auto"/>
              <w:ind w:left="141.73228346456688" w:right="2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Державний</w:t>
            </w:r>
          </w:p>
          <w:p w:rsidR="00000000" w:rsidDel="00000000" w:rsidP="00000000" w:rsidRDefault="00000000" w:rsidRPr="00000000" w14:paraId="00000045">
            <w:pPr>
              <w:spacing w:line="288" w:lineRule="auto"/>
              <w:ind w:left="141.73228346456688" w:right="2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бюджет</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92.3636363636364" w:lineRule="auto"/>
              <w:ind w:left="141.73228346456688" w:righ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Обласний</w:t>
            </w:r>
          </w:p>
          <w:p w:rsidR="00000000" w:rsidDel="00000000" w:rsidP="00000000" w:rsidRDefault="00000000" w:rsidRPr="00000000" w14:paraId="00000047">
            <w:pPr>
              <w:spacing w:line="288" w:lineRule="auto"/>
              <w:ind w:left="141.73228346456688" w:right="1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бюджет</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before="0" w:line="292.3636363636364"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Місцевий</w:t>
            </w:r>
          </w:p>
          <w:p w:rsidR="00000000" w:rsidDel="00000000" w:rsidP="00000000" w:rsidRDefault="00000000" w:rsidRPr="00000000" w14:paraId="00000049">
            <w:pPr>
              <w:spacing w:after="0" w:before="0" w:line="288"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бюджет</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92.3636363636364"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w:t>
            </w:r>
          </w:p>
          <w:p w:rsidR="00000000" w:rsidDel="00000000" w:rsidP="00000000" w:rsidRDefault="00000000" w:rsidRPr="00000000" w14:paraId="0000004B">
            <w:pPr>
              <w:spacing w:line="288"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джерела</w:t>
            </w:r>
          </w:p>
        </w:tc>
      </w:tr>
      <w:tr>
        <w:trPr>
          <w:cantSplit w:val="0"/>
          <w:trHeight w:val="785.9252929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9.2727272727273"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ind w:left="141.7322834645668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158126,9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ind w:left="141.7322834645668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105755,1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ind w:left="141.73228346456688" w:firstLine="0"/>
              <w:jc w:val="center"/>
              <w:rPr>
                <w:rFonts w:ascii="Times New Roman" w:cs="Times New Roman" w:eastAsia="Times New Roman" w:hAnsi="Times New Roman"/>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69.45454545454544" w:lineRule="auto"/>
              <w:ind w:left="141.73228346456688" w:right="1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52371,80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ind w:left="141.73228346456688" w:firstLine="0"/>
              <w:jc w:val="center"/>
              <w:rPr>
                <w:rFonts w:ascii="Times New Roman" w:cs="Times New Roman" w:eastAsia="Times New Roman" w:hAnsi="Times New Roman"/>
                <w:b w:val="1"/>
              </w:rPr>
            </w:pPr>
            <w:r w:rsidDel="00000000" w:rsidR="00000000" w:rsidRPr="00000000">
              <w:rPr>
                <w:rtl w:val="0"/>
              </w:rPr>
            </w:r>
          </w:p>
        </w:tc>
      </w:tr>
      <w:tr>
        <w:trPr>
          <w:cantSplit w:val="0"/>
          <w:trHeight w:val="395.9252929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92.3636363636364"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т.ч.</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ind w:lef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79.2727272727273"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40" w:before="240" w:lin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24157,4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after="240" w:before="240" w:lin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13383,0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240" w:before="240" w:line="24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10774,4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240" w:before="240" w:line="24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9.2727272727273"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18913,8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10053,1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69.45454545454544"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8860,70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830.9252929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81.4545454545455"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49765,3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33200,5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1.6363636363636"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16564,80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79.2727272727273"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11689,1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69.45454545454544"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8414,60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860.9252929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92.3636363636364"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53601,3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ind w:left="141.7322834645668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45844,0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69.45454545454544" w:lineRule="auto"/>
              <w:ind w:left="141.73228346456688"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7757,30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ind w:left="141.73228346456688" w:firstLine="0"/>
              <w:jc w:val="center"/>
              <w:rPr>
                <w:rFonts w:ascii="Times New Roman" w:cs="Times New Roman" w:eastAsia="Times New Roman" w:hAnsi="Times New Roman"/>
              </w:rPr>
            </w:pPr>
            <w:r w:rsidDel="00000000" w:rsidR="00000000" w:rsidRPr="00000000">
              <w:rPr>
                <w:rtl w:val="0"/>
              </w:rPr>
            </w:r>
          </w:p>
        </w:tc>
      </w:tr>
      <w:tr>
        <w:trPr>
          <w:cantSplit w:val="0"/>
          <w:trHeight w:val="23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ind w:left="141.73228346456688" w:right="115.74803149606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Очікувані результати виконання</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35.2" w:lineRule="auto"/>
              <w:ind w:left="141.73228346456688" w:right="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створення умов для особистісного розвитку і творчої самореалізації особистості;</w:t>
            </w:r>
          </w:p>
          <w:p w:rsidR="00000000" w:rsidDel="00000000" w:rsidP="00000000" w:rsidRDefault="00000000" w:rsidRPr="00000000" w14:paraId="00000078">
            <w:pPr>
              <w:spacing w:line="235.2" w:lineRule="auto"/>
              <w:ind w:left="141.73228346456688" w:right="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збільшення кількості дітей, охоплених дошкільною освітою;</w:t>
            </w:r>
          </w:p>
          <w:p w:rsidR="00000000" w:rsidDel="00000000" w:rsidP="00000000" w:rsidRDefault="00000000" w:rsidRPr="00000000" w14:paraId="00000079">
            <w:pPr>
              <w:spacing w:line="235.2" w:lineRule="auto"/>
              <w:ind w:left="141.73228346456688" w:right="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здійснення комплексної інформатизації освіти;</w:t>
            </w:r>
          </w:p>
          <w:p w:rsidR="00000000" w:rsidDel="00000000" w:rsidP="00000000" w:rsidRDefault="00000000" w:rsidRPr="00000000" w14:paraId="0000007A">
            <w:pPr>
              <w:spacing w:line="235.2" w:lineRule="auto"/>
              <w:ind w:left="141.73228346456688" w:right="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підвищення соціального статусу та професійного рівня педагогічних працівників;</w:t>
            </w:r>
          </w:p>
          <w:p w:rsidR="00000000" w:rsidDel="00000000" w:rsidP="00000000" w:rsidRDefault="00000000" w:rsidRPr="00000000" w14:paraId="0000007B">
            <w:pPr>
              <w:spacing w:line="235.2" w:lineRule="auto"/>
              <w:ind w:left="141.73228346456688" w:right="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7"/>
                <w:szCs w:val="27"/>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зміцнення матеріально-технічної бази закладів освіти.</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92.3636363636364"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Терміни проведення</w:t>
            </w:r>
          </w:p>
          <w:p w:rsidR="00000000" w:rsidDel="00000000" w:rsidP="00000000" w:rsidRDefault="00000000" w:rsidRPr="00000000" w14:paraId="00000081">
            <w:pPr>
              <w:spacing w:line="288" w:lineRule="auto"/>
              <w:ind w:left="141.73228346456688" w:right="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звітності</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after="240" w:before="240" w:line="292.3636363636364"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Щорічно</w:t>
            </w:r>
          </w:p>
        </w:tc>
      </w:tr>
    </w:tbl>
    <w:p w:rsidR="00000000" w:rsidDel="00000000" w:rsidP="00000000" w:rsidRDefault="00000000" w:rsidRPr="00000000" w14:paraId="00000087">
      <w:pPr>
        <w:ind w:left="141.73228346456688"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88">
      <w:pPr>
        <w:spacing w:after="240" w:before="240" w:line="276"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 Загальна частина</w:t>
      </w:r>
    </w:p>
    <w:p w:rsidR="00000000" w:rsidDel="00000000" w:rsidP="00000000" w:rsidRDefault="00000000" w:rsidRPr="00000000" w14:paraId="00000089">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останні роки в Україні здійснено низку заходів щодо реформування освіти, підвищення її якості, доступності та конкурентоспроможності. Модернізовано зміст та удосконалено організацію всіх ланок освіти, запроваджуються нові державні стандарти освіти, забезпечено організацію інклюзивного навчання дітей з особливими освітніми потребами, запроваджується профільне навчання в старшій школі, вдосконалюється зовнішнє незалежне оцінювання навчальних досягнень випускників закладів загальної середньої освіти, створено нові навчальні підручники, триває забезпечення закладів освіти сучасними навчальними комп'ютерними комплексами. </w:t>
      </w:r>
    </w:p>
    <w:p w:rsidR="00000000" w:rsidDel="00000000" w:rsidP="00000000" w:rsidRDefault="00000000" w:rsidRPr="00000000" w14:paraId="0000008A">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Освіта України ставить за мету створення інклюзивного та інноваційного суспільства освіченого загалу, в якому кожен громадянин має рівні можливості для розвитку свого таланту впродовж життя заради формування згуртованої спільноти громадян, спроможних до активної творчої співучасті у стійкому розвитку країни</w:t>
      </w:r>
    </w:p>
    <w:p w:rsidR="00000000" w:rsidDel="00000000" w:rsidP="00000000" w:rsidRDefault="00000000" w:rsidRPr="00000000" w14:paraId="0000008B">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розвитку освіти Софіївської селищної територіальної громади  на 2023-2027 роки (далі - Програма) розроблена відповідно до Конституції України, законів  України:  «Про місцеве самоврядування в Україні», «Про освіту», «Про дошкільну освіту», «Про повну загальну середню  освіту»,  «Про  позашкільну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 Указів Президента України від 30.09.2010 № 927/2010 «Про заходи щодо розвитку системи виявлення та підтримки обдарованих і талановитих дітей та молоді», від 18 травня 2019 року № 286/2019 «Про Стратегію національно-патріотичного виховання»,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23.03.2021 № 305 «Про затвердження норм та Порядку організації харчування у закладах освіти та дитячих закладах оздоровлення та відпочинку».</w:t>
      </w:r>
      <w:r w:rsidDel="00000000" w:rsidR="00000000" w:rsidRPr="00000000">
        <w:rPr>
          <w:rtl w:val="0"/>
        </w:rPr>
      </w:r>
    </w:p>
    <w:p w:rsidR="00000000" w:rsidDel="00000000" w:rsidP="00000000" w:rsidRDefault="00000000" w:rsidRPr="00000000" w14:paraId="0000008C">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розвитку освіти Софіївської</w:t>
      </w:r>
      <w:r w:rsidDel="00000000" w:rsidR="00000000" w:rsidRPr="00000000">
        <w:rPr>
          <w:rFonts w:ascii="Times New Roman" w:cs="Times New Roman" w:eastAsia="Times New Roman" w:hAnsi="Times New Roman"/>
          <w:sz w:val="24"/>
          <w:szCs w:val="24"/>
          <w:rtl w:val="0"/>
        </w:rPr>
        <w:t xml:space="preserve"> селищної територіальної громади</w:t>
      </w:r>
      <w:r w:rsidDel="00000000" w:rsidR="00000000" w:rsidRPr="00000000">
        <w:rPr>
          <w:rFonts w:ascii="Times New Roman" w:cs="Times New Roman" w:eastAsia="Times New Roman" w:hAnsi="Times New Roman"/>
          <w:sz w:val="24"/>
          <w:szCs w:val="24"/>
          <w:rtl w:val="0"/>
        </w:rPr>
        <w:t xml:space="preserve"> передбачає перспективи вдосконалення дошкільної, загальноосвітньої та позашкільної освіти та зміцнення матеріально-технічної бази закладів освіти.</w:t>
      </w:r>
    </w:p>
    <w:p w:rsidR="00000000" w:rsidDel="00000000" w:rsidP="00000000" w:rsidRDefault="00000000" w:rsidRPr="00000000" w14:paraId="0000008D">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визначає мету і завдання розвитку освіти на період 2023-2027 років, шляхи, механізми та основні заходи з реалізації стратегічних завдань, їх виконавців, прогнозовані обсяги фінансового забезпечення виконання.</w:t>
      </w:r>
    </w:p>
    <w:p w:rsidR="00000000" w:rsidDel="00000000" w:rsidP="00000000" w:rsidRDefault="00000000" w:rsidRPr="00000000" w14:paraId="0000008E">
      <w:pPr>
        <w:spacing w:after="40" w:before="80" w:line="240" w:lineRule="auto"/>
        <w:ind w:left="141.73228346456688" w:right="180" w:firstLine="425.19685039370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заходів з реалізації Програми розвитку освіти Софіївської територіальної громади на 2023-2027 роки викладено у додатку до цієї програми.</w:t>
      </w:r>
      <w:r w:rsidDel="00000000" w:rsidR="00000000" w:rsidRPr="00000000">
        <w:rPr>
          <w:rtl w:val="0"/>
        </w:rPr>
      </w:r>
    </w:p>
    <w:p w:rsidR="00000000" w:rsidDel="00000000" w:rsidP="00000000" w:rsidRDefault="00000000" w:rsidRPr="00000000" w14:paraId="0000008F">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може доповнюватися (змінюватися) в установленому чинним законодавством порядку в разі, коли в період її виконання відбуватимуться зміни в державній освітній політиці, в соціально-економічній ситуації регіону.</w:t>
      </w: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90">
      <w:pPr>
        <w:spacing w:after="240" w:before="240" w:line="276"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ІІ. Мета та основні завдання Програми</w:t>
      </w:r>
    </w:p>
    <w:p w:rsidR="00000000" w:rsidDel="00000000" w:rsidP="00000000" w:rsidRDefault="00000000" w:rsidRPr="00000000" w14:paraId="00000091">
      <w:pPr>
        <w:spacing w:after="240" w:before="240" w:line="276" w:lineRule="auto"/>
        <w:ind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Програми є: розбудова якісної, ефективної та доступної для кожного системи освіти, що відповідає вимогам територіальної громади, запитам особистості та потребам держави і ґрунтується на духовних цінностях українського народу; підвищення рівня конкурентності системи освіти селищної територіальної громади, шляхом її удосконалення, підтримки та розвитку; забезпечення професійного розвитку педагогів; модернізація матеріально-технічної бази та формування нового освітнього простору закладів освіти; створення безпечних умов для надання освітніх послуг; створення умов для реалізації освітнього процесу, спрямованого на розвиток інформаційного суспільства, відкритого та прозорого публічного управління; організація безпечного, регулярного і безкоштовного перевезення учнів, дітей та педагогічних працівників закладів освіти до місця навчання, роботи, місць проживання; виховання свідомого ставлення до свого здоров’я та здоров'я кожної людини як найвищої соціальної цінності; забезпечення академічної, кадрової та організаційної автономії закладів та установ освіти</w:t>
      </w:r>
      <w:r w:rsidDel="00000000" w:rsidR="00000000" w:rsidRPr="00000000">
        <w:rPr>
          <w:rtl w:val="0"/>
        </w:rPr>
      </w:r>
    </w:p>
    <w:p w:rsidR="00000000" w:rsidDel="00000000" w:rsidP="00000000" w:rsidRDefault="00000000" w:rsidRPr="00000000" w14:paraId="0000009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Основними завданнями Програми є:</w:t>
      </w:r>
    </w:p>
    <w:p w:rsidR="00000000" w:rsidDel="00000000" w:rsidP="00000000" w:rsidRDefault="00000000" w:rsidRPr="00000000" w14:paraId="00000093">
      <w:pPr>
        <w:spacing w:after="240" w:before="240" w:line="276"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удосконалення змісту освіти відповідно до державних стандартів дошкільної, загальної середньої освіти;</w:t>
      </w:r>
    </w:p>
    <w:p w:rsidR="00000000" w:rsidDel="00000000" w:rsidP="00000000" w:rsidRDefault="00000000" w:rsidRPr="00000000" w14:paraId="00000094">
      <w:pPr>
        <w:spacing w:after="240"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підвищення рівня і доступності якісної освіти відповідно до вимог інноваційного розвитку економіки, сучасних потреб суспільства і кожної особистості;</w:t>
      </w:r>
    </w:p>
    <w:p w:rsidR="00000000" w:rsidDel="00000000" w:rsidP="00000000" w:rsidRDefault="00000000" w:rsidRPr="00000000" w14:paraId="00000095">
      <w:pPr>
        <w:spacing w:after="240"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забезпечення гармонійного розвитку людини як найвищої цінності суспільства;</w:t>
      </w:r>
    </w:p>
    <w:p w:rsidR="00000000" w:rsidDel="00000000" w:rsidP="00000000" w:rsidRDefault="00000000" w:rsidRPr="00000000" w14:paraId="00000096">
      <w:pPr>
        <w:spacing w:after="240" w:before="240" w:line="276" w:lineRule="auto"/>
        <w:ind w:left="140" w:firstLine="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створення можливостей індивідуального вибору старшокласників відповідно до їх освітніх потреб, нахилів та здібностей через диференціацію навчання у старшій школі, розвиток умов для профільного навчання;</w:t>
      </w:r>
    </w:p>
    <w:p w:rsidR="00000000" w:rsidDel="00000000" w:rsidP="00000000" w:rsidRDefault="00000000" w:rsidRPr="00000000" w14:paraId="00000097">
      <w:pPr>
        <w:spacing w:after="240"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підготовка компетентного випускника, успішного громадянина;</w:t>
      </w:r>
    </w:p>
    <w:p w:rsidR="00000000" w:rsidDel="00000000" w:rsidP="00000000" w:rsidRDefault="00000000" w:rsidRPr="00000000" w14:paraId="00000098">
      <w:pPr>
        <w:spacing w:after="240" w:before="240" w:line="276" w:lineRule="auto"/>
        <w:ind w:left="140" w:firstLine="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підвищення рівня організації роботи щодо зміцнення здоров’я учасників освітнього процесу, забезпечення ефективності фізкультурно-оздоровчої роботи;</w:t>
      </w:r>
    </w:p>
    <w:p w:rsidR="00000000" w:rsidDel="00000000" w:rsidP="00000000" w:rsidRDefault="00000000" w:rsidRPr="00000000" w14:paraId="00000099">
      <w:pPr>
        <w:spacing w:after="240" w:before="240" w:line="276" w:lineRule="auto"/>
        <w:ind w:firstLine="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створення умов для виявлення і навчання обдарованих дітей та реалізації їх можливостей;</w:t>
      </w:r>
    </w:p>
    <w:p w:rsidR="00000000" w:rsidDel="00000000" w:rsidP="00000000" w:rsidRDefault="00000000" w:rsidRPr="00000000" w14:paraId="0000009A">
      <w:pPr>
        <w:spacing w:after="240" w:before="240" w:line="276" w:lineRule="auto"/>
        <w:ind w:left="140" w:firstLine="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забезпечення підвезення учасників освітнього процесу до місць роботи, навчання і додому;</w:t>
      </w:r>
    </w:p>
    <w:p w:rsidR="00000000" w:rsidDel="00000000" w:rsidP="00000000" w:rsidRDefault="00000000" w:rsidRPr="00000000" w14:paraId="0000009B">
      <w:pPr>
        <w:spacing w:after="240" w:before="240" w:line="276"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оснащення закладів освіти сучасними засобами інформаційних технологій.</w:t>
      </w:r>
    </w:p>
    <w:p w:rsidR="00000000" w:rsidDel="00000000" w:rsidP="00000000" w:rsidRDefault="00000000" w:rsidRPr="00000000" w14:paraId="0000009C">
      <w:pPr>
        <w:spacing w:after="240" w:before="240" w:line="276"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ІІІ. Очікувані результати</w:t>
      </w:r>
    </w:p>
    <w:p w:rsidR="00000000" w:rsidDel="00000000" w:rsidP="00000000" w:rsidRDefault="00000000" w:rsidRPr="00000000" w14:paraId="0000009D">
      <w:pPr>
        <w:spacing w:after="240" w:before="24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Програми дасть змогу:</w:t>
      </w:r>
    </w:p>
    <w:p w:rsidR="00000000" w:rsidDel="00000000" w:rsidP="00000000" w:rsidRDefault="00000000" w:rsidRPr="00000000" w14:paraId="0000009E">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створити умови для особистісного розвитку і творчої самореалізації особистості;</w:t>
      </w:r>
    </w:p>
    <w:p w:rsidR="00000000" w:rsidDel="00000000" w:rsidP="00000000" w:rsidRDefault="00000000" w:rsidRPr="00000000" w14:paraId="0000009F">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збільшити кількість дітей, охоплених дошкільною освітою;</w:t>
      </w:r>
    </w:p>
    <w:p w:rsidR="00000000" w:rsidDel="00000000" w:rsidP="00000000" w:rsidRDefault="00000000" w:rsidRPr="00000000" w14:paraId="000000A0">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здійснити комплексну інформатизацію освіти;</w:t>
      </w:r>
    </w:p>
    <w:p w:rsidR="00000000" w:rsidDel="00000000" w:rsidP="00000000" w:rsidRDefault="00000000" w:rsidRPr="00000000" w14:paraId="000000A1">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підвищити соціальний статус та професійний рівень педагогічних працівників;</w:t>
      </w:r>
    </w:p>
    <w:p w:rsidR="00000000" w:rsidDel="00000000" w:rsidP="00000000" w:rsidRDefault="00000000" w:rsidRPr="00000000" w14:paraId="000000A2">
      <w:pPr>
        <w:spacing w:after="240" w:before="240"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зміцнити матеріально-технічну базу закладів освіти.</w:t>
      </w:r>
    </w:p>
    <w:p w:rsidR="00000000" w:rsidDel="00000000" w:rsidP="00000000" w:rsidRDefault="00000000" w:rsidRPr="00000000" w14:paraId="000000A3">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ІV. Фінансове забезпечення виконання заходів програми</w:t>
      </w:r>
    </w:p>
    <w:p w:rsidR="00000000" w:rsidDel="00000000" w:rsidP="00000000" w:rsidRDefault="00000000" w:rsidRPr="00000000" w14:paraId="000000A4">
      <w:pPr>
        <w:spacing w:after="240" w:before="240" w:line="276" w:lineRule="auto"/>
        <w:ind w:firstLine="70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sz w:val="24"/>
          <w:szCs w:val="24"/>
          <w:rtl w:val="0"/>
        </w:rPr>
        <w:t xml:space="preserve">Фінансове забезпечення виконання Програми здійснюватиметься в установленому порядку за рахунок видатків місцевих бюджетів, інших джерел фінансування, не заборонених законодавством. У </w:t>
      </w:r>
      <w:r w:rsidDel="00000000" w:rsidR="00000000" w:rsidRPr="00000000">
        <w:rPr>
          <w:rFonts w:ascii="Times New Roman" w:cs="Times New Roman" w:eastAsia="Times New Roman" w:hAnsi="Times New Roman"/>
          <w:sz w:val="24"/>
          <w:szCs w:val="24"/>
          <w:rtl w:val="0"/>
        </w:rPr>
        <w:t xml:space="preserve">2023 –2027</w:t>
      </w:r>
      <w:r w:rsidDel="00000000" w:rsidR="00000000" w:rsidRPr="00000000">
        <w:rPr>
          <w:rFonts w:ascii="Times New Roman" w:cs="Times New Roman" w:eastAsia="Times New Roman" w:hAnsi="Times New Roman"/>
          <w:sz w:val="24"/>
          <w:szCs w:val="24"/>
          <w:rtl w:val="0"/>
        </w:rPr>
        <w:t xml:space="preserve"> роках видатки на виконання Програми здійснюватимуться основними виконавцями в межах асигнувань, передбачених на відповідні роки.</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